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8E546C" w:rsidRPr="002D379F" w:rsidRDefault="00FC07DC" w:rsidP="008E546C">
      <w:pPr>
        <w:ind w:firstLine="709"/>
        <w:contextualSpacing/>
        <w:jc w:val="center"/>
        <w:rPr>
          <w:b/>
          <w:sz w:val="28"/>
          <w:szCs w:val="28"/>
          <w:bdr w:val="none" w:sz="0" w:space="0" w:color="auto" w:frame="1"/>
        </w:rPr>
      </w:pPr>
      <w:r>
        <w:fldChar w:fldCharType="begin"/>
      </w:r>
      <w:r>
        <w:instrText xml:space="preserve"> HYPERLINK "https://rmk.rokosvita.org.ua/wp-content/uploads/2019/04/novi-umovy-dzhura-03-2019.docx" </w:instrText>
      </w:r>
      <w:r>
        <w:fldChar w:fldCharType="separate"/>
      </w:r>
      <w:r w:rsidR="008E546C" w:rsidRPr="002D379F">
        <w:rPr>
          <w:b/>
          <w:sz w:val="28"/>
          <w:szCs w:val="28"/>
          <w:bdr w:val="none" w:sz="0" w:space="0" w:color="auto" w:frame="1"/>
        </w:rPr>
        <w:t>УМОВИ</w:t>
      </w:r>
      <w:r>
        <w:rPr>
          <w:b/>
          <w:sz w:val="28"/>
          <w:szCs w:val="28"/>
          <w:bdr w:val="none" w:sz="0" w:space="0" w:color="auto" w:frame="1"/>
        </w:rPr>
        <w:fldChar w:fldCharType="end"/>
      </w:r>
    </w:p>
    <w:p w:rsidR="008E546C" w:rsidRPr="002D379F" w:rsidRDefault="008E546C" w:rsidP="008E546C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bdr w:val="none" w:sz="0" w:space="0" w:color="auto" w:frame="1"/>
        </w:rPr>
        <w:t>проведення обласних етапів В</w:t>
      </w:r>
      <w:r w:rsidRPr="002D379F">
        <w:rPr>
          <w:b/>
          <w:sz w:val="28"/>
          <w:szCs w:val="28"/>
          <w:bdr w:val="none" w:sz="0" w:space="0" w:color="auto" w:frame="1"/>
        </w:rPr>
        <w:t>сеукраїнської дитячо-юнацької військово-патріотичної гри «</w:t>
      </w:r>
      <w:r>
        <w:rPr>
          <w:b/>
          <w:sz w:val="28"/>
          <w:szCs w:val="28"/>
          <w:bdr w:val="none" w:sz="0" w:space="0" w:color="auto" w:frame="1"/>
        </w:rPr>
        <w:t>Сокіл»(«Д</w:t>
      </w:r>
      <w:r w:rsidRPr="002D379F">
        <w:rPr>
          <w:b/>
          <w:sz w:val="28"/>
          <w:szCs w:val="28"/>
          <w:bdr w:val="none" w:sz="0" w:space="0" w:color="auto" w:frame="1"/>
        </w:rPr>
        <w:t xml:space="preserve">жура») </w:t>
      </w:r>
      <w:r w:rsidRPr="002D379F">
        <w:rPr>
          <w:b/>
          <w:sz w:val="28"/>
          <w:szCs w:val="28"/>
        </w:rPr>
        <w:t>у 202</w:t>
      </w:r>
      <w:r>
        <w:rPr>
          <w:b/>
          <w:sz w:val="28"/>
          <w:szCs w:val="28"/>
        </w:rPr>
        <w:t>2</w:t>
      </w:r>
      <w:r w:rsidRPr="002D379F">
        <w:rPr>
          <w:b/>
          <w:sz w:val="28"/>
          <w:szCs w:val="28"/>
        </w:rPr>
        <w:t xml:space="preserve"> році </w:t>
      </w:r>
    </w:p>
    <w:p w:rsidR="008E546C" w:rsidRPr="002D379F" w:rsidRDefault="008E546C" w:rsidP="008E546C">
      <w:pPr>
        <w:ind w:firstLine="709"/>
        <w:contextualSpacing/>
        <w:jc w:val="center"/>
        <w:rPr>
          <w:b/>
          <w:sz w:val="28"/>
          <w:szCs w:val="28"/>
          <w:bdr w:val="none" w:sz="0" w:space="0" w:color="auto" w:frame="1"/>
        </w:rPr>
      </w:pPr>
      <w:r w:rsidRPr="002D379F">
        <w:rPr>
          <w:b/>
          <w:sz w:val="28"/>
          <w:szCs w:val="28"/>
        </w:rPr>
        <w:t>для середньої та старшої віков</w:t>
      </w:r>
      <w:r>
        <w:rPr>
          <w:b/>
          <w:sz w:val="28"/>
          <w:szCs w:val="28"/>
        </w:rPr>
        <w:t>их</w:t>
      </w:r>
      <w:r w:rsidRPr="002D379F">
        <w:rPr>
          <w:b/>
          <w:sz w:val="28"/>
          <w:szCs w:val="28"/>
        </w:rPr>
        <w:t xml:space="preserve"> груп</w:t>
      </w:r>
    </w:p>
    <w:p w:rsidR="008E546C" w:rsidRPr="002D379F" w:rsidRDefault="008E546C" w:rsidP="008E546C">
      <w:pPr>
        <w:ind w:firstLine="709"/>
        <w:contextualSpacing/>
        <w:jc w:val="center"/>
        <w:rPr>
          <w:b/>
          <w:sz w:val="28"/>
          <w:szCs w:val="28"/>
          <w:bdr w:val="none" w:sz="0" w:space="0" w:color="auto" w:frame="1"/>
        </w:rPr>
      </w:pPr>
    </w:p>
    <w:p w:rsidR="008E546C" w:rsidRPr="002D379F" w:rsidRDefault="008E546C" w:rsidP="008E546C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bdr w:val="none" w:sz="0" w:space="0" w:color="auto" w:frame="1"/>
        </w:rPr>
        <w:t xml:space="preserve">1. </w:t>
      </w:r>
      <w:r w:rsidRPr="002D379F">
        <w:rPr>
          <w:b/>
          <w:sz w:val="28"/>
          <w:szCs w:val="28"/>
          <w:bdr w:val="none" w:sz="0" w:space="0" w:color="auto" w:frame="1"/>
        </w:rPr>
        <w:t>Загальні положення</w:t>
      </w:r>
    </w:p>
    <w:p w:rsidR="008E546C" w:rsidRPr="002D379F" w:rsidRDefault="008E546C" w:rsidP="008E546C">
      <w:pPr>
        <w:ind w:firstLine="709"/>
        <w:contextualSpacing/>
        <w:jc w:val="both"/>
        <w:rPr>
          <w:sz w:val="28"/>
          <w:szCs w:val="28"/>
        </w:rPr>
      </w:pPr>
      <w:r w:rsidRPr="002D379F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2D379F">
        <w:rPr>
          <w:sz w:val="28"/>
          <w:szCs w:val="28"/>
        </w:rPr>
        <w:t xml:space="preserve"> Всеукраїнська дитячо-юнацька військово-патріотична гра «Сокіл» («Джура») (далі – гра «Джура») є системною формою виховної роботи з військово-патріотичного та морально-етичного виховання учнівської молоді, важливим засобом громадянської освіти, формування національно-патріотичної свідомості.</w:t>
      </w:r>
    </w:p>
    <w:p w:rsidR="008E546C" w:rsidRPr="002D379F" w:rsidRDefault="008E546C" w:rsidP="008E546C">
      <w:pPr>
        <w:ind w:firstLine="709"/>
        <w:contextualSpacing/>
        <w:jc w:val="center"/>
        <w:rPr>
          <w:b/>
          <w:sz w:val="28"/>
          <w:szCs w:val="28"/>
          <w:bdr w:val="none" w:sz="0" w:space="0" w:color="auto" w:frame="1"/>
        </w:rPr>
      </w:pPr>
    </w:p>
    <w:p w:rsidR="008E546C" w:rsidRPr="002D379F" w:rsidRDefault="008E546C" w:rsidP="008E546C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bdr w:val="none" w:sz="0" w:space="0" w:color="auto" w:frame="1"/>
        </w:rPr>
        <w:t xml:space="preserve">2. Організація </w:t>
      </w:r>
      <w:r w:rsidRPr="00ED5B5B">
        <w:rPr>
          <w:b/>
          <w:sz w:val="28"/>
          <w:szCs w:val="28"/>
          <w:bdr w:val="none" w:sz="0" w:space="0" w:color="auto" w:frame="1"/>
        </w:rPr>
        <w:t>обласних етапів гри «Джура»</w:t>
      </w:r>
    </w:p>
    <w:p w:rsidR="008E546C" w:rsidRPr="002D379F" w:rsidRDefault="008E546C" w:rsidP="008E546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D379F">
        <w:rPr>
          <w:sz w:val="28"/>
          <w:szCs w:val="28"/>
        </w:rPr>
        <w:t xml:space="preserve">.1. Загальне керівництво щодо підготовки та проведення </w:t>
      </w:r>
      <w:r w:rsidRPr="00ED5B5B">
        <w:rPr>
          <w:sz w:val="28"/>
          <w:szCs w:val="28"/>
        </w:rPr>
        <w:t>обласних етапів гри «Джура»</w:t>
      </w:r>
      <w:r>
        <w:rPr>
          <w:sz w:val="28"/>
          <w:szCs w:val="28"/>
        </w:rPr>
        <w:t xml:space="preserve"> </w:t>
      </w:r>
      <w:r w:rsidRPr="002D379F">
        <w:rPr>
          <w:sz w:val="28"/>
          <w:szCs w:val="28"/>
        </w:rPr>
        <w:t>здійснює Департамент освіти і науки Сумської обласної державної адміністрації.</w:t>
      </w:r>
    </w:p>
    <w:p w:rsidR="008E546C" w:rsidRPr="002D379F" w:rsidRDefault="008E546C" w:rsidP="008E546C">
      <w:pPr>
        <w:ind w:firstLine="709"/>
        <w:contextualSpacing/>
        <w:jc w:val="both"/>
        <w:rPr>
          <w:sz w:val="28"/>
          <w:szCs w:val="28"/>
        </w:rPr>
      </w:pPr>
      <w:r w:rsidRPr="002D379F">
        <w:rPr>
          <w:sz w:val="28"/>
          <w:szCs w:val="28"/>
        </w:rPr>
        <w:t xml:space="preserve">Безпосередня організація та проведення </w:t>
      </w:r>
      <w:r w:rsidRPr="00ED5B5B">
        <w:rPr>
          <w:sz w:val="28"/>
          <w:szCs w:val="28"/>
        </w:rPr>
        <w:t>обласних етапів гри «Джура»</w:t>
      </w:r>
      <w:r>
        <w:rPr>
          <w:sz w:val="28"/>
          <w:szCs w:val="28"/>
        </w:rPr>
        <w:t xml:space="preserve"> </w:t>
      </w:r>
      <w:r w:rsidRPr="002D379F">
        <w:rPr>
          <w:sz w:val="28"/>
          <w:szCs w:val="28"/>
        </w:rPr>
        <w:t>покладається на комунальний заклад Сумської обласної ради – обласний центр позашкільної освіти та роботи з талановитою молоддю, який за погодженням із Обласним штабом затвер</w:t>
      </w:r>
      <w:r>
        <w:rPr>
          <w:sz w:val="28"/>
          <w:szCs w:val="28"/>
        </w:rPr>
        <w:t>джує умови проведення гри</w:t>
      </w:r>
      <w:r w:rsidRPr="002D379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E546C" w:rsidRPr="002B4A7D" w:rsidRDefault="008E546C" w:rsidP="008E546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D3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2D379F">
        <w:rPr>
          <w:sz w:val="28"/>
          <w:szCs w:val="28"/>
        </w:rPr>
        <w:t xml:space="preserve">. </w:t>
      </w:r>
      <w:r>
        <w:rPr>
          <w:sz w:val="28"/>
          <w:szCs w:val="28"/>
        </w:rPr>
        <w:t>Обласні етапи</w:t>
      </w:r>
      <w:r w:rsidRPr="00ED5B5B">
        <w:rPr>
          <w:sz w:val="28"/>
          <w:szCs w:val="28"/>
        </w:rPr>
        <w:t xml:space="preserve"> гри «Джура»</w:t>
      </w:r>
      <w:r>
        <w:rPr>
          <w:sz w:val="28"/>
          <w:szCs w:val="28"/>
        </w:rPr>
        <w:t xml:space="preserve"> </w:t>
      </w:r>
      <w:r w:rsidRPr="002D379F">
        <w:rPr>
          <w:sz w:val="28"/>
          <w:szCs w:val="28"/>
        </w:rPr>
        <w:t>у 202</w:t>
      </w:r>
      <w:r>
        <w:rPr>
          <w:sz w:val="28"/>
          <w:szCs w:val="28"/>
        </w:rPr>
        <w:t>2</w:t>
      </w:r>
      <w:r w:rsidRPr="002D379F">
        <w:rPr>
          <w:sz w:val="28"/>
          <w:szCs w:val="28"/>
        </w:rPr>
        <w:t xml:space="preserve"> році провод</w:t>
      </w:r>
      <w:r>
        <w:rPr>
          <w:sz w:val="28"/>
          <w:szCs w:val="28"/>
        </w:rPr>
        <w:t xml:space="preserve">яться </w:t>
      </w:r>
      <w:r w:rsidRPr="002B4A7D">
        <w:rPr>
          <w:sz w:val="28"/>
          <w:szCs w:val="28"/>
        </w:rPr>
        <w:t>дистанційно</w:t>
      </w:r>
      <w:r>
        <w:rPr>
          <w:sz w:val="28"/>
          <w:szCs w:val="28"/>
        </w:rPr>
        <w:t xml:space="preserve"> і включають огляд</w:t>
      </w:r>
      <w:r w:rsidRPr="002B4A7D">
        <w:rPr>
          <w:sz w:val="28"/>
          <w:szCs w:val="28"/>
        </w:rPr>
        <w:t xml:space="preserve"> інтернет-ресурсу,</w:t>
      </w:r>
      <w:r w:rsidRPr="002B4A7D">
        <w:rPr>
          <w:sz w:val="28"/>
          <w:szCs w:val="28"/>
          <w:bdr w:val="none" w:sz="0" w:space="0" w:color="auto" w:frame="1"/>
        </w:rPr>
        <w:t xml:space="preserve"> де висвітлювалася інформація щодо діяльності рою </w:t>
      </w:r>
      <w:proofErr w:type="spellStart"/>
      <w:r w:rsidRPr="002B4A7D">
        <w:rPr>
          <w:sz w:val="28"/>
          <w:szCs w:val="28"/>
          <w:bdr w:val="none" w:sz="0" w:space="0" w:color="auto" w:frame="1"/>
        </w:rPr>
        <w:t>впрововж</w:t>
      </w:r>
      <w:proofErr w:type="spellEnd"/>
      <w:r w:rsidRPr="002B4A7D">
        <w:rPr>
          <w:sz w:val="28"/>
          <w:szCs w:val="28"/>
          <w:bdr w:val="none" w:sz="0" w:space="0" w:color="auto" w:frame="1"/>
        </w:rPr>
        <w:t xml:space="preserve"> навчального року</w:t>
      </w:r>
      <w:r>
        <w:rPr>
          <w:sz w:val="28"/>
          <w:szCs w:val="28"/>
        </w:rPr>
        <w:t xml:space="preserve"> та К</w:t>
      </w:r>
      <w:r w:rsidRPr="002B4A7D">
        <w:rPr>
          <w:sz w:val="28"/>
          <w:szCs w:val="28"/>
        </w:rPr>
        <w:t>ниги звитяг (п. 16 Положення про Всеукраїнську дитячо-юнацьку військово-патріотичну гру «Сокіл» («Джура»), затверджен</w:t>
      </w:r>
      <w:r>
        <w:rPr>
          <w:sz w:val="28"/>
          <w:szCs w:val="28"/>
        </w:rPr>
        <w:t>ого</w:t>
      </w:r>
      <w:r w:rsidRPr="002B4A7D">
        <w:rPr>
          <w:sz w:val="28"/>
          <w:szCs w:val="28"/>
        </w:rPr>
        <w:t xml:space="preserve"> постановою Кабінету Міністрів України від 17 жовтня 2018 р. № 845).</w:t>
      </w:r>
    </w:p>
    <w:p w:rsidR="008E546C" w:rsidRPr="002D379F" w:rsidRDefault="008E546C" w:rsidP="008E546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2D379F">
        <w:rPr>
          <w:sz w:val="28"/>
          <w:szCs w:val="28"/>
        </w:rPr>
        <w:t xml:space="preserve">Критерії оцінювання </w:t>
      </w:r>
      <w:r>
        <w:rPr>
          <w:sz w:val="28"/>
          <w:szCs w:val="28"/>
        </w:rPr>
        <w:t>і</w:t>
      </w:r>
      <w:r w:rsidRPr="002B4A7D">
        <w:rPr>
          <w:sz w:val="28"/>
          <w:szCs w:val="28"/>
        </w:rPr>
        <w:t>нтернет-</w:t>
      </w:r>
      <w:r>
        <w:rPr>
          <w:sz w:val="28"/>
          <w:szCs w:val="28"/>
        </w:rPr>
        <w:t>ресурсу та Книги</w:t>
      </w:r>
      <w:r w:rsidRPr="002B4A7D">
        <w:rPr>
          <w:sz w:val="28"/>
          <w:szCs w:val="28"/>
        </w:rPr>
        <w:t xml:space="preserve"> звитяг</w:t>
      </w:r>
      <w:r w:rsidRPr="002D379F">
        <w:rPr>
          <w:sz w:val="28"/>
          <w:szCs w:val="28"/>
        </w:rPr>
        <w:t xml:space="preserve"> (від 1 до 10 балів):</w:t>
      </w:r>
    </w:p>
    <w:p w:rsidR="008E546C" w:rsidRPr="002D379F" w:rsidRDefault="008E546C" w:rsidP="008E546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2D379F">
        <w:rPr>
          <w:sz w:val="28"/>
          <w:szCs w:val="28"/>
        </w:rPr>
        <w:t>суспільна знач</w:t>
      </w:r>
      <w:r>
        <w:rPr>
          <w:sz w:val="28"/>
          <w:szCs w:val="28"/>
        </w:rPr>
        <w:t>ущість</w:t>
      </w:r>
      <w:r w:rsidRPr="002D379F">
        <w:rPr>
          <w:sz w:val="28"/>
          <w:szCs w:val="28"/>
        </w:rPr>
        <w:t xml:space="preserve"> діяльності рою;</w:t>
      </w:r>
    </w:p>
    <w:p w:rsidR="008E546C" w:rsidRDefault="008E546C" w:rsidP="008E546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2D379F">
        <w:rPr>
          <w:sz w:val="28"/>
          <w:szCs w:val="28"/>
        </w:rPr>
        <w:t>відповідність ідейним принципам лицарства «Служити Богові, Батьківщині, ближнім»;</w:t>
      </w:r>
    </w:p>
    <w:p w:rsidR="008E546C" w:rsidRPr="002D379F" w:rsidRDefault="008E546C" w:rsidP="008E546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застосування ройових атрибутів;</w:t>
      </w:r>
    </w:p>
    <w:p w:rsidR="008E546C" w:rsidRPr="002D379F" w:rsidRDefault="008E546C" w:rsidP="008E546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2D379F">
        <w:rPr>
          <w:sz w:val="28"/>
          <w:szCs w:val="28"/>
        </w:rPr>
        <w:t>інформаційна насиченість;</w:t>
      </w:r>
    </w:p>
    <w:p w:rsidR="008E546C" w:rsidRDefault="008E546C" w:rsidP="008E546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261722">
        <w:rPr>
          <w:sz w:val="28"/>
          <w:szCs w:val="28"/>
        </w:rPr>
        <w:t>логічність</w:t>
      </w:r>
      <w:r>
        <w:rPr>
          <w:sz w:val="28"/>
          <w:szCs w:val="28"/>
        </w:rPr>
        <w:t xml:space="preserve"> викладу матеріалу</w:t>
      </w:r>
      <w:r w:rsidRPr="00261722">
        <w:rPr>
          <w:sz w:val="28"/>
          <w:szCs w:val="28"/>
        </w:rPr>
        <w:t xml:space="preserve"> (дотримання хронологічної послідовності);</w:t>
      </w:r>
    </w:p>
    <w:p w:rsidR="008E546C" w:rsidRPr="00261722" w:rsidRDefault="008E546C" w:rsidP="008E546C">
      <w:pPr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застосува</w:t>
      </w:r>
      <w:r w:rsidRPr="00261722">
        <w:rPr>
          <w:sz w:val="28"/>
          <w:szCs w:val="28"/>
        </w:rPr>
        <w:t xml:space="preserve">ння </w:t>
      </w:r>
      <w:proofErr w:type="spellStart"/>
      <w:r w:rsidRPr="00261722">
        <w:rPr>
          <w:sz w:val="28"/>
          <w:szCs w:val="28"/>
        </w:rPr>
        <w:t>хештегу</w:t>
      </w:r>
      <w:proofErr w:type="spellEnd"/>
      <w:r w:rsidRPr="00261722">
        <w:rPr>
          <w:sz w:val="28"/>
          <w:szCs w:val="28"/>
        </w:rPr>
        <w:t xml:space="preserve">  </w:t>
      </w:r>
      <w:r w:rsidRPr="00261722">
        <w:rPr>
          <w:b/>
          <w:sz w:val="28"/>
          <w:szCs w:val="28"/>
        </w:rPr>
        <w:t>#</w:t>
      </w:r>
      <w:proofErr w:type="spellStart"/>
      <w:r w:rsidRPr="00261722">
        <w:rPr>
          <w:b/>
          <w:sz w:val="28"/>
          <w:szCs w:val="28"/>
          <w:lang w:val="en-US"/>
        </w:rPr>
        <w:t>dzhura</w:t>
      </w:r>
      <w:proofErr w:type="spellEnd"/>
      <w:r w:rsidRPr="00261722">
        <w:rPr>
          <w:b/>
          <w:sz w:val="28"/>
          <w:szCs w:val="28"/>
        </w:rPr>
        <w:t>_2022.</w:t>
      </w:r>
      <w:r w:rsidRPr="00261722">
        <w:rPr>
          <w:sz w:val="28"/>
          <w:szCs w:val="28"/>
        </w:rPr>
        <w:t xml:space="preserve"> </w:t>
      </w:r>
    </w:p>
    <w:p w:rsidR="008E546C" w:rsidRPr="002D379F" w:rsidRDefault="008E546C" w:rsidP="008E546C">
      <w:pPr>
        <w:ind w:firstLine="709"/>
        <w:contextualSpacing/>
        <w:jc w:val="both"/>
        <w:rPr>
          <w:sz w:val="28"/>
          <w:szCs w:val="28"/>
        </w:rPr>
      </w:pPr>
      <w:r w:rsidRPr="002D379F">
        <w:rPr>
          <w:sz w:val="28"/>
          <w:szCs w:val="28"/>
        </w:rPr>
        <w:t xml:space="preserve">Максимальна кількість балів – </w:t>
      </w:r>
      <w:r>
        <w:rPr>
          <w:sz w:val="28"/>
          <w:szCs w:val="28"/>
        </w:rPr>
        <w:t>6</w:t>
      </w:r>
      <w:r w:rsidRPr="002D379F">
        <w:rPr>
          <w:sz w:val="28"/>
          <w:szCs w:val="28"/>
        </w:rPr>
        <w:t>0.</w:t>
      </w:r>
    </w:p>
    <w:p w:rsidR="008E546C" w:rsidRPr="002D379F" w:rsidRDefault="008E546C" w:rsidP="008E546C">
      <w:pPr>
        <w:ind w:firstLine="709"/>
        <w:contextualSpacing/>
        <w:jc w:val="center"/>
        <w:rPr>
          <w:b/>
          <w:sz w:val="28"/>
          <w:szCs w:val="28"/>
          <w:bdr w:val="none" w:sz="0" w:space="0" w:color="auto" w:frame="1"/>
        </w:rPr>
      </w:pPr>
    </w:p>
    <w:p w:rsidR="008E546C" w:rsidRPr="002D379F" w:rsidRDefault="008E546C" w:rsidP="008E546C">
      <w:pPr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bdr w:val="none" w:sz="0" w:space="0" w:color="auto" w:frame="1"/>
        </w:rPr>
        <w:t xml:space="preserve">3. </w:t>
      </w:r>
      <w:r w:rsidRPr="002D379F">
        <w:rPr>
          <w:b/>
          <w:sz w:val="28"/>
          <w:szCs w:val="28"/>
          <w:bdr w:val="none" w:sz="0" w:space="0" w:color="auto" w:frame="1"/>
        </w:rPr>
        <w:t xml:space="preserve">Учасники </w:t>
      </w:r>
      <w:r w:rsidRPr="00ED5B5B">
        <w:rPr>
          <w:b/>
          <w:sz w:val="28"/>
          <w:szCs w:val="28"/>
          <w:bdr w:val="none" w:sz="0" w:space="0" w:color="auto" w:frame="1"/>
        </w:rPr>
        <w:t>обласних етапів гри «Джура»</w:t>
      </w:r>
    </w:p>
    <w:p w:rsidR="008E546C" w:rsidRDefault="008E546C" w:rsidP="008E546C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>
        <w:rPr>
          <w:color w:val="000000"/>
          <w:sz w:val="28"/>
          <w:szCs w:val="28"/>
        </w:rPr>
        <w:t>.1</w:t>
      </w:r>
      <w:r w:rsidRPr="002D379F">
        <w:rPr>
          <w:color w:val="000000"/>
          <w:sz w:val="28"/>
          <w:szCs w:val="28"/>
        </w:rPr>
        <w:t>. Рій складається із учасників віком 15–17 років («молоді козаки») для старшої вікової групи та учасників віком 11–14 років («джури») для середньої вікової групи, які є учнями одного закладу освіти або є членами однієї громадської організації.</w:t>
      </w:r>
      <w:r>
        <w:rPr>
          <w:color w:val="000000"/>
          <w:sz w:val="28"/>
          <w:szCs w:val="28"/>
        </w:rPr>
        <w:t xml:space="preserve"> </w:t>
      </w:r>
    </w:p>
    <w:p w:rsidR="008E546C" w:rsidRPr="00EC7095" w:rsidRDefault="008E546C" w:rsidP="008E546C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 </w:t>
      </w:r>
      <w:r w:rsidRPr="002D379F">
        <w:rPr>
          <w:color w:val="000000"/>
          <w:sz w:val="28"/>
          <w:szCs w:val="28"/>
        </w:rPr>
        <w:t>Склад рою – 8 осіб (не менше 2-х осіб протилежної статі). Кожен рій обирає провідника – ройового.</w:t>
      </w:r>
    </w:p>
    <w:p w:rsidR="008E546C" w:rsidRDefault="008E546C" w:rsidP="008E546C">
      <w:pPr>
        <w:pStyle w:val="msonormalcxspmiddle"/>
        <w:spacing w:before="0" w:beforeAutospacing="0" w:after="0" w:afterAutospacing="0"/>
        <w:ind w:firstLine="567"/>
        <w:contextualSpacing/>
        <w:jc w:val="center"/>
        <w:rPr>
          <w:b/>
          <w:sz w:val="28"/>
          <w:szCs w:val="28"/>
          <w:lang w:val="uk-UA"/>
        </w:rPr>
      </w:pPr>
    </w:p>
    <w:p w:rsidR="008E546C" w:rsidRPr="004A1334" w:rsidRDefault="008E546C" w:rsidP="008E546C">
      <w:pPr>
        <w:pStyle w:val="msonormalcxspmiddle"/>
        <w:spacing w:before="0" w:beforeAutospacing="0" w:after="0" w:afterAutospacing="0"/>
        <w:ind w:firstLine="567"/>
        <w:contextualSpacing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4. О</w:t>
      </w:r>
      <w:r w:rsidRPr="004A1334">
        <w:rPr>
          <w:b/>
          <w:sz w:val="28"/>
          <w:szCs w:val="28"/>
          <w:lang w:val="uk-UA"/>
        </w:rPr>
        <w:t xml:space="preserve">формлення </w:t>
      </w:r>
      <w:r>
        <w:rPr>
          <w:b/>
          <w:sz w:val="28"/>
          <w:szCs w:val="28"/>
          <w:lang w:val="uk-UA"/>
        </w:rPr>
        <w:t>р</w:t>
      </w:r>
      <w:r w:rsidRPr="004A1334">
        <w:rPr>
          <w:b/>
          <w:color w:val="000000"/>
          <w:sz w:val="28"/>
          <w:szCs w:val="28"/>
          <w:lang w:val="uk-UA"/>
        </w:rPr>
        <w:t>ойових атрибутів</w:t>
      </w:r>
    </w:p>
    <w:p w:rsidR="008E546C" w:rsidRPr="00AA1121" w:rsidRDefault="008E546C" w:rsidP="008E546C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4.1. </w:t>
      </w:r>
      <w:r w:rsidRPr="00AA1121">
        <w:rPr>
          <w:color w:val="000000"/>
          <w:sz w:val="28"/>
          <w:szCs w:val="28"/>
          <w:bdr w:val="none" w:sz="0" w:space="0" w:color="auto" w:frame="1"/>
        </w:rPr>
        <w:t>Назва рою.</w:t>
      </w:r>
      <w:r w:rsidRPr="00AA1121">
        <w:rPr>
          <w:color w:val="000000"/>
          <w:sz w:val="28"/>
          <w:szCs w:val="28"/>
        </w:rPr>
        <w:t xml:space="preserve"> Кожен рій обирає назву за тематикою історичної героїки борців за незалежність України. Мета: створення збірного образу, який би сприймали члени рою як частинку себе, і це б мотивувало їх спільно наслідувати свій ідеал, </w:t>
      </w:r>
      <w:proofErr w:type="spellStart"/>
      <w:r w:rsidRPr="00AA1121">
        <w:rPr>
          <w:color w:val="000000"/>
          <w:sz w:val="28"/>
          <w:szCs w:val="28"/>
        </w:rPr>
        <w:t>співдіяти</w:t>
      </w:r>
      <w:proofErr w:type="spellEnd"/>
      <w:r w:rsidRPr="00AA1121">
        <w:rPr>
          <w:color w:val="000000"/>
          <w:sz w:val="28"/>
          <w:szCs w:val="28"/>
        </w:rPr>
        <w:t xml:space="preserve"> у досягненні перемоги.</w:t>
      </w:r>
    </w:p>
    <w:p w:rsidR="008E546C" w:rsidRPr="00AA1121" w:rsidRDefault="008E546C" w:rsidP="008E546C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4.2. Ройова відзна</w:t>
      </w:r>
      <w:r w:rsidRPr="00AA1121">
        <w:rPr>
          <w:color w:val="000000"/>
          <w:sz w:val="28"/>
          <w:szCs w:val="28"/>
          <w:bdr w:val="none" w:sz="0" w:space="0" w:color="auto" w:frame="1"/>
        </w:rPr>
        <w:t>ка (емблема)</w:t>
      </w:r>
      <w:r w:rsidRPr="00AA1121">
        <w:rPr>
          <w:color w:val="000000"/>
          <w:sz w:val="28"/>
          <w:szCs w:val="28"/>
        </w:rPr>
        <w:t xml:space="preserve"> – схематичне, символічне зображення назви рою. Форма: білий круг з чорним колом. В сер</w:t>
      </w:r>
      <w:r>
        <w:rPr>
          <w:color w:val="000000"/>
          <w:sz w:val="28"/>
          <w:szCs w:val="28"/>
        </w:rPr>
        <w:t>едині чорне зображення. Розмір:</w:t>
      </w:r>
      <w:r w:rsidRPr="00AA1121">
        <w:rPr>
          <w:color w:val="000000"/>
          <w:sz w:val="28"/>
          <w:szCs w:val="28"/>
        </w:rPr>
        <w:t xml:space="preserve"> D – 5 см. Можна розміщувати на правому рукаві однострою, на висоті середини між ліктем та краєм рукава на плечі.</w:t>
      </w:r>
    </w:p>
    <w:p w:rsidR="008E546C" w:rsidRPr="00AA1121" w:rsidRDefault="008E546C" w:rsidP="008E546C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4.3. </w:t>
      </w:r>
      <w:r w:rsidRPr="00AA1121">
        <w:rPr>
          <w:color w:val="000000"/>
          <w:sz w:val="28"/>
          <w:szCs w:val="28"/>
          <w:bdr w:val="none" w:sz="0" w:space="0" w:color="auto" w:frame="1"/>
        </w:rPr>
        <w:t>Ройове гасло (клич-девіз).</w:t>
      </w:r>
      <w:r w:rsidRPr="00AA1121">
        <w:rPr>
          <w:color w:val="000000"/>
          <w:sz w:val="28"/>
          <w:szCs w:val="28"/>
        </w:rPr>
        <w:t xml:space="preserve"> Відображає лицарсько-воїнську, козацьку традицію, світогляд, ідеали. Можна використовувати народні приказки чи присл</w:t>
      </w:r>
      <w:r>
        <w:rPr>
          <w:color w:val="000000"/>
          <w:sz w:val="28"/>
          <w:szCs w:val="28"/>
        </w:rPr>
        <w:t>ів’я, латинські вислови. Мета:</w:t>
      </w:r>
      <w:r w:rsidRPr="00AA1121">
        <w:rPr>
          <w:color w:val="000000"/>
          <w:sz w:val="28"/>
          <w:szCs w:val="28"/>
        </w:rPr>
        <w:t xml:space="preserve"> клич має </w:t>
      </w:r>
      <w:proofErr w:type="spellStart"/>
      <w:r w:rsidRPr="00AA1121">
        <w:rPr>
          <w:color w:val="000000"/>
          <w:sz w:val="28"/>
          <w:szCs w:val="28"/>
        </w:rPr>
        <w:t>ідейно</w:t>
      </w:r>
      <w:proofErr w:type="spellEnd"/>
      <w:r w:rsidRPr="00AA1121">
        <w:rPr>
          <w:color w:val="000000"/>
          <w:sz w:val="28"/>
          <w:szCs w:val="28"/>
        </w:rPr>
        <w:t xml:space="preserve"> об’єднувати всіх членів рою, спрямовувати їх на позитивну поведінку.</w:t>
      </w:r>
    </w:p>
    <w:p w:rsidR="008E546C" w:rsidRPr="00AA1121" w:rsidRDefault="008E546C" w:rsidP="008E546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4.4. </w:t>
      </w:r>
      <w:r w:rsidRPr="00AA1121">
        <w:rPr>
          <w:sz w:val="28"/>
          <w:szCs w:val="28"/>
          <w:bdr w:val="none" w:sz="0" w:space="0" w:color="auto" w:frame="1"/>
        </w:rPr>
        <w:t>Ройовий позивний</w:t>
      </w:r>
      <w:r w:rsidRPr="00AA1121">
        <w:rPr>
          <w:sz w:val="28"/>
          <w:szCs w:val="28"/>
        </w:rPr>
        <w:t>. Мета: – використання під час змагань для зв’язку зі своїми.</w:t>
      </w:r>
    </w:p>
    <w:p w:rsidR="008E546C" w:rsidRPr="00AA1121" w:rsidRDefault="008E546C" w:rsidP="008E546C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4.5. </w:t>
      </w:r>
      <w:r w:rsidRPr="00AA1121">
        <w:rPr>
          <w:sz w:val="28"/>
          <w:szCs w:val="28"/>
          <w:bdr w:val="none" w:sz="0" w:space="0" w:color="auto" w:frame="1"/>
        </w:rPr>
        <w:t xml:space="preserve">Ройове знамено </w:t>
      </w:r>
      <w:r w:rsidRPr="00AA1121">
        <w:rPr>
          <w:sz w:val="28"/>
          <w:szCs w:val="28"/>
        </w:rPr>
        <w:t>– хоругва (прапор).</w:t>
      </w:r>
      <w:r>
        <w:rPr>
          <w:sz w:val="28"/>
          <w:szCs w:val="28"/>
        </w:rPr>
        <w:t xml:space="preserve"> </w:t>
      </w:r>
      <w:r w:rsidRPr="00AA1121">
        <w:rPr>
          <w:color w:val="000000"/>
          <w:sz w:val="28"/>
          <w:szCs w:val="28"/>
          <w:bdr w:val="none" w:sz="0" w:space="0" w:color="auto" w:frame="1"/>
        </w:rPr>
        <w:t>Барви рою</w:t>
      </w:r>
      <w:r>
        <w:rPr>
          <w:color w:val="000000"/>
          <w:sz w:val="28"/>
          <w:szCs w:val="28"/>
          <w:bdr w:val="none" w:sz="0" w:space="0" w:color="auto" w:frame="1"/>
        </w:rPr>
        <w:t>:</w:t>
      </w:r>
      <w:r w:rsidRPr="00AA1121">
        <w:rPr>
          <w:color w:val="000000"/>
          <w:sz w:val="28"/>
          <w:szCs w:val="28"/>
        </w:rPr>
        <w:t xml:space="preserve"> будь-які два чи три кольори. Основна барва</w:t>
      </w:r>
      <w:r>
        <w:rPr>
          <w:color w:val="000000"/>
          <w:sz w:val="28"/>
          <w:szCs w:val="28"/>
        </w:rPr>
        <w:t xml:space="preserve"> </w:t>
      </w:r>
      <w:r w:rsidRPr="00AA1121">
        <w:rPr>
          <w:color w:val="000000"/>
          <w:sz w:val="28"/>
          <w:szCs w:val="28"/>
        </w:rPr>
        <w:t>– малинова, яка виконує функції тла (фону).</w:t>
      </w:r>
    </w:p>
    <w:p w:rsidR="008E546C" w:rsidRDefault="008E546C" w:rsidP="008E546C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4.6. </w:t>
      </w:r>
      <w:r w:rsidRPr="00AA1121">
        <w:rPr>
          <w:color w:val="000000"/>
          <w:sz w:val="28"/>
          <w:szCs w:val="28"/>
          <w:bdr w:val="none" w:sz="0" w:space="0" w:color="auto" w:frame="1"/>
        </w:rPr>
        <w:t>Однострій (типова форма)</w:t>
      </w:r>
      <w:r w:rsidRPr="00AA1121">
        <w:rPr>
          <w:color w:val="000000"/>
          <w:sz w:val="28"/>
          <w:szCs w:val="28"/>
        </w:rPr>
        <w:t xml:space="preserve"> – мають бути елементи військового одягу сучасного українського війська чи силових структур (без військових відзнак, що діють у ЗСУ), але з обов’язковими відзнаками гри «Джура» (на лівому рукаві) і відзнакою рою (на правому рукаві).</w:t>
      </w:r>
      <w:r>
        <w:rPr>
          <w:color w:val="000000"/>
          <w:sz w:val="28"/>
          <w:szCs w:val="28"/>
        </w:rPr>
        <w:t xml:space="preserve"> </w:t>
      </w:r>
      <w:r w:rsidRPr="00AA1121">
        <w:rPr>
          <w:sz w:val="28"/>
          <w:szCs w:val="28"/>
        </w:rPr>
        <w:t xml:space="preserve">Додатковий елемент – таборова футболка або елемент вишиванки. </w:t>
      </w:r>
    </w:p>
    <w:p w:rsidR="008E546C" w:rsidRPr="007B29FF" w:rsidRDefault="008E546C" w:rsidP="008E546C">
      <w:pPr>
        <w:pStyle w:val="msonormalcxspmiddle"/>
        <w:spacing w:before="0" w:beforeAutospacing="0" w:after="0" w:afterAutospacing="0"/>
        <w:ind w:firstLine="567"/>
        <w:contextualSpacing/>
        <w:jc w:val="center"/>
        <w:rPr>
          <w:sz w:val="28"/>
          <w:szCs w:val="28"/>
          <w:lang w:val="uk-UA"/>
        </w:rPr>
      </w:pPr>
    </w:p>
    <w:p w:rsidR="008E546C" w:rsidRPr="007B29FF" w:rsidRDefault="008E546C" w:rsidP="008E546C">
      <w:pPr>
        <w:pStyle w:val="msonormalcxspmiddle"/>
        <w:spacing w:before="0" w:beforeAutospacing="0" w:after="0" w:afterAutospacing="0"/>
        <w:ind w:firstLine="567"/>
        <w:contextualSpacing/>
        <w:jc w:val="center"/>
        <w:rPr>
          <w:sz w:val="28"/>
          <w:szCs w:val="28"/>
          <w:lang w:val="uk-UA"/>
        </w:rPr>
      </w:pPr>
    </w:p>
    <w:p w:rsidR="008E546C" w:rsidRPr="00EB24DE" w:rsidRDefault="008E546C" w:rsidP="008E546C">
      <w:pPr>
        <w:tabs>
          <w:tab w:val="left" w:pos="993"/>
          <w:tab w:val="left" w:pos="1152"/>
        </w:tabs>
        <w:jc w:val="both"/>
      </w:pPr>
    </w:p>
    <w:p w:rsidR="0086239C" w:rsidRDefault="0086239C"/>
    <w:sectPr w:rsidR="0086239C" w:rsidSect="005508E6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36C01"/>
    <w:multiLevelType w:val="hybridMultilevel"/>
    <w:tmpl w:val="4D7CECD6"/>
    <w:lvl w:ilvl="0" w:tplc="9DA081E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FA1"/>
    <w:rsid w:val="00676FA1"/>
    <w:rsid w:val="0086239C"/>
    <w:rsid w:val="008E546C"/>
    <w:rsid w:val="00FC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1B2E7"/>
  <w15:chartTrackingRefBased/>
  <w15:docId w15:val="{00CC8CDB-D85D-47BE-92F0-FA900EA98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8E546C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2289</Words>
  <Characters>1306</Characters>
  <Application>Microsoft Office Word</Application>
  <DocSecurity>0</DocSecurity>
  <Lines>10</Lines>
  <Paragraphs>7</Paragraphs>
  <ScaleCrop>false</ScaleCrop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2022-05-16T08:48:00Z</dcterms:created>
  <dcterms:modified xsi:type="dcterms:W3CDTF">2022-05-16T08:48:00Z</dcterms:modified>
</cp:coreProperties>
</file>